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09F4" w14:textId="702C42E6" w:rsidR="00CD7471" w:rsidRPr="00E22272" w:rsidRDefault="00745134" w:rsidP="00745134">
      <w:pPr>
        <w:jc w:val="center"/>
        <w:rPr>
          <w:rFonts w:asciiTheme="minorHAnsi" w:hAnsiTheme="minorHAnsi" w:cstheme="minorHAnsi"/>
          <w:szCs w:val="24"/>
        </w:rPr>
      </w:pPr>
      <w:r w:rsidRPr="00C83498">
        <w:rPr>
          <w:noProof/>
        </w:rPr>
        <w:drawing>
          <wp:inline distT="0" distB="0" distL="0" distR="0" wp14:anchorId="6D0F68D7" wp14:editId="5411C7F9">
            <wp:extent cx="1499674" cy="907084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71" cy="92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881F" w14:textId="77777777" w:rsidR="000270E3" w:rsidRPr="00733B13" w:rsidRDefault="000270E3" w:rsidP="00CD7471">
      <w:pPr>
        <w:rPr>
          <w:rFonts w:asciiTheme="minorHAnsi" w:hAnsiTheme="minorHAnsi" w:cstheme="minorHAnsi"/>
          <w:sz w:val="14"/>
          <w:szCs w:val="14"/>
        </w:rPr>
      </w:pPr>
    </w:p>
    <w:p w14:paraId="76C54BF5" w14:textId="77777777" w:rsidR="003723D2" w:rsidRDefault="003723D2" w:rsidP="00CD7471">
      <w:pPr>
        <w:rPr>
          <w:rFonts w:asciiTheme="minorHAnsi" w:hAnsiTheme="minorHAnsi" w:cstheme="minorHAnsi"/>
          <w:szCs w:val="24"/>
        </w:rPr>
      </w:pPr>
    </w:p>
    <w:p w14:paraId="53026591" w14:textId="66236422" w:rsidR="00CD7471" w:rsidRDefault="000270E3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September 13, 2022</w:t>
      </w:r>
    </w:p>
    <w:p w14:paraId="69BC3E2B" w14:textId="557441C7" w:rsidR="003723D2" w:rsidRDefault="003723D2" w:rsidP="00CD7471">
      <w:pPr>
        <w:rPr>
          <w:rFonts w:asciiTheme="minorHAnsi" w:hAnsiTheme="minorHAnsi" w:cstheme="minorHAnsi"/>
          <w:szCs w:val="24"/>
        </w:rPr>
      </w:pPr>
    </w:p>
    <w:p w14:paraId="680C4D2D" w14:textId="77777777" w:rsidR="003723D2" w:rsidRPr="00E22272" w:rsidRDefault="003723D2" w:rsidP="00CD7471">
      <w:pPr>
        <w:rPr>
          <w:rFonts w:asciiTheme="minorHAnsi" w:hAnsiTheme="minorHAnsi" w:cstheme="minorHAnsi"/>
          <w:szCs w:val="24"/>
        </w:rPr>
      </w:pPr>
    </w:p>
    <w:p w14:paraId="082019E2" w14:textId="77777777" w:rsidR="00CD7471" w:rsidRPr="002A6458" w:rsidRDefault="00CD7471" w:rsidP="00CD7471">
      <w:pPr>
        <w:rPr>
          <w:rFonts w:asciiTheme="minorHAnsi" w:hAnsiTheme="minorHAnsi" w:cstheme="minorHAnsi"/>
          <w:sz w:val="18"/>
          <w:szCs w:val="18"/>
        </w:rPr>
      </w:pPr>
    </w:p>
    <w:p w14:paraId="54380A84" w14:textId="17EEC569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The Honorable Anna Eshoo 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proofErr w:type="gramStart"/>
      <w:r w:rsidRPr="00E22272">
        <w:rPr>
          <w:rFonts w:asciiTheme="minorHAnsi" w:hAnsiTheme="minorHAnsi" w:cstheme="minorHAnsi"/>
          <w:szCs w:val="24"/>
        </w:rPr>
        <w:t>The</w:t>
      </w:r>
      <w:proofErr w:type="gramEnd"/>
      <w:r w:rsidRPr="00E22272">
        <w:rPr>
          <w:rFonts w:asciiTheme="minorHAnsi" w:hAnsiTheme="minorHAnsi" w:cstheme="minorHAnsi"/>
          <w:szCs w:val="24"/>
        </w:rPr>
        <w:t xml:space="preserve"> Honorable Brett Guthrie</w:t>
      </w:r>
    </w:p>
    <w:p w14:paraId="04F85A46" w14:textId="4F12631F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Chair 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  <w:t>Ranking Member</w:t>
      </w:r>
    </w:p>
    <w:p w14:paraId="101A061E" w14:textId="2FD8E43F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Energy and Commerce, 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  <w:t>Energy and Commerce</w:t>
      </w:r>
    </w:p>
    <w:p w14:paraId="46ABED9F" w14:textId="29B1CFB5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Subcommittee on Health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  <w:t>Subcommittee on Health</w:t>
      </w:r>
    </w:p>
    <w:p w14:paraId="4CC7BD76" w14:textId="56170E0D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272 Cannon House Office Building 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  <w:t>2434 Rayburn House Office Building</w:t>
      </w:r>
    </w:p>
    <w:p w14:paraId="135B7087" w14:textId="0E5005B3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Washington, DC 20515 </w:t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</w:r>
      <w:r w:rsidRPr="00E22272">
        <w:rPr>
          <w:rFonts w:asciiTheme="minorHAnsi" w:hAnsiTheme="minorHAnsi" w:cstheme="minorHAnsi"/>
          <w:szCs w:val="24"/>
        </w:rPr>
        <w:tab/>
        <w:t>Washington, DC 20515</w:t>
      </w:r>
    </w:p>
    <w:p w14:paraId="79622750" w14:textId="77777777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</w:p>
    <w:p w14:paraId="67CC848D" w14:textId="78BF8249" w:rsidR="00CD7471" w:rsidRPr="00E22272" w:rsidRDefault="00CD7471" w:rsidP="003723D2">
      <w:pPr>
        <w:ind w:left="1530" w:hanging="81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Subject: Energy and Commerce Health Subcommittee Markup, Improving Seniors’ Timely Access to Care Act </w:t>
      </w:r>
    </w:p>
    <w:p w14:paraId="695DAD1D" w14:textId="77777777" w:rsidR="00CD7471" w:rsidRPr="002A6458" w:rsidRDefault="00CD7471" w:rsidP="00CD7471">
      <w:pPr>
        <w:rPr>
          <w:rFonts w:asciiTheme="minorHAnsi" w:hAnsiTheme="minorHAnsi" w:cstheme="minorHAnsi"/>
          <w:sz w:val="20"/>
          <w:szCs w:val="20"/>
        </w:rPr>
      </w:pPr>
    </w:p>
    <w:p w14:paraId="2C060C5C" w14:textId="3688BA2C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Dear Chair Eshoo and Ranking Member Guthrie</w:t>
      </w:r>
      <w:r w:rsidR="000270E3" w:rsidRPr="00E22272">
        <w:rPr>
          <w:rFonts w:asciiTheme="minorHAnsi" w:hAnsiTheme="minorHAnsi" w:cstheme="minorHAnsi"/>
          <w:szCs w:val="24"/>
        </w:rPr>
        <w:t>,</w:t>
      </w:r>
      <w:r w:rsidRPr="00E22272">
        <w:rPr>
          <w:rFonts w:asciiTheme="minorHAnsi" w:hAnsiTheme="minorHAnsi" w:cstheme="minorHAnsi"/>
          <w:szCs w:val="24"/>
        </w:rPr>
        <w:t xml:space="preserve"> </w:t>
      </w:r>
    </w:p>
    <w:p w14:paraId="68924FD7" w14:textId="77777777" w:rsidR="00CD7471" w:rsidRPr="003723D2" w:rsidRDefault="00CD7471" w:rsidP="00CD7471">
      <w:pPr>
        <w:rPr>
          <w:rFonts w:asciiTheme="minorHAnsi" w:hAnsiTheme="minorHAnsi" w:cstheme="minorHAnsi"/>
          <w:szCs w:val="24"/>
        </w:rPr>
      </w:pPr>
    </w:p>
    <w:p w14:paraId="7E04DC09" w14:textId="6716D619" w:rsidR="00CD7471" w:rsidRPr="00E22272" w:rsidRDefault="00E22272" w:rsidP="00CD74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Thank you for </w:t>
      </w:r>
      <w:r w:rsidRPr="00E22272">
        <w:rPr>
          <w:rFonts w:asciiTheme="minorHAnsi" w:hAnsiTheme="minorHAnsi" w:cstheme="minorHAnsi"/>
          <w:szCs w:val="24"/>
        </w:rPr>
        <w:t>advancing the Improving Seniors’ Timely Access to Care Act</w:t>
      </w:r>
      <w:r w:rsidR="00745134" w:rsidRPr="00745134">
        <w:rPr>
          <w:rFonts w:asciiTheme="minorHAnsi" w:hAnsiTheme="minorHAnsi" w:cstheme="minorHAnsi"/>
          <w:szCs w:val="24"/>
        </w:rPr>
        <w:t xml:space="preserve"> </w:t>
      </w:r>
      <w:r w:rsidR="00745134">
        <w:rPr>
          <w:rFonts w:asciiTheme="minorHAnsi" w:hAnsiTheme="minorHAnsi" w:cstheme="minorHAnsi"/>
          <w:szCs w:val="24"/>
        </w:rPr>
        <w:t xml:space="preserve">in the </w:t>
      </w:r>
      <w:r w:rsidR="00745134" w:rsidRPr="00E22272">
        <w:rPr>
          <w:rFonts w:asciiTheme="minorHAnsi" w:hAnsiTheme="minorHAnsi" w:cstheme="minorHAnsi"/>
          <w:szCs w:val="24"/>
        </w:rPr>
        <w:t>Energy and Commerce Health Subcommittee</w:t>
      </w:r>
      <w:r w:rsidR="00745134">
        <w:rPr>
          <w:rFonts w:asciiTheme="minorHAnsi" w:hAnsiTheme="minorHAnsi" w:cstheme="minorHAnsi"/>
          <w:szCs w:val="24"/>
        </w:rPr>
        <w:t xml:space="preserve"> this week. </w:t>
      </w:r>
      <w:r w:rsidRPr="00E22272">
        <w:rPr>
          <w:rFonts w:asciiTheme="minorHAnsi" w:hAnsiTheme="minorHAnsi" w:cstheme="minorHAnsi"/>
          <w:szCs w:val="24"/>
        </w:rPr>
        <w:t xml:space="preserve"> </w:t>
      </w:r>
      <w:r w:rsidR="000270E3" w:rsidRPr="00E22272">
        <w:rPr>
          <w:rFonts w:asciiTheme="minorHAnsi" w:hAnsiTheme="minorHAnsi" w:cstheme="minorHAnsi"/>
          <w:szCs w:val="24"/>
        </w:rPr>
        <w:t xml:space="preserve">Members of the </w:t>
      </w:r>
      <w:r w:rsidR="00CD7471" w:rsidRPr="00E22272">
        <w:rPr>
          <w:rFonts w:asciiTheme="minorHAnsi" w:hAnsiTheme="minorHAnsi" w:cstheme="minorHAnsi"/>
          <w:szCs w:val="24"/>
        </w:rPr>
        <w:t xml:space="preserve">Regulatory Relief Coalition (RRC) — a group of national physician specialty organizations advocating for reduced regulatory burdens that interfere with patient care — </w:t>
      </w:r>
      <w:r w:rsidR="00745134">
        <w:rPr>
          <w:rFonts w:asciiTheme="minorHAnsi" w:hAnsiTheme="minorHAnsi" w:cstheme="minorHAnsi"/>
          <w:szCs w:val="24"/>
        </w:rPr>
        <w:t>strongly u</w:t>
      </w:r>
      <w:r w:rsidR="00CD7471" w:rsidRPr="00E22272">
        <w:rPr>
          <w:rFonts w:asciiTheme="minorHAnsi" w:hAnsiTheme="minorHAnsi" w:cstheme="minorHAnsi"/>
          <w:szCs w:val="24"/>
        </w:rPr>
        <w:t xml:space="preserve">rge </w:t>
      </w:r>
      <w:r w:rsidR="00C5038F">
        <w:rPr>
          <w:rFonts w:asciiTheme="minorHAnsi" w:hAnsiTheme="minorHAnsi" w:cstheme="minorHAnsi"/>
          <w:szCs w:val="24"/>
        </w:rPr>
        <w:t xml:space="preserve">the </w:t>
      </w:r>
      <w:r w:rsidR="001B3219">
        <w:rPr>
          <w:rFonts w:asciiTheme="minorHAnsi" w:hAnsiTheme="minorHAnsi" w:cstheme="minorHAnsi"/>
          <w:szCs w:val="24"/>
        </w:rPr>
        <w:t>C</w:t>
      </w:r>
      <w:r w:rsidR="00C5038F">
        <w:rPr>
          <w:rFonts w:asciiTheme="minorHAnsi" w:hAnsiTheme="minorHAnsi" w:cstheme="minorHAnsi"/>
          <w:szCs w:val="24"/>
        </w:rPr>
        <w:t xml:space="preserve">ommittee to favorably report the bill </w:t>
      </w:r>
      <w:r w:rsidR="001B3219">
        <w:rPr>
          <w:rFonts w:asciiTheme="minorHAnsi" w:hAnsiTheme="minorHAnsi" w:cstheme="minorHAnsi"/>
          <w:szCs w:val="24"/>
        </w:rPr>
        <w:t xml:space="preserve">out of committee </w:t>
      </w:r>
      <w:r w:rsidR="00C5038F">
        <w:rPr>
          <w:rFonts w:asciiTheme="minorHAnsi" w:hAnsiTheme="minorHAnsi" w:cstheme="minorHAnsi"/>
          <w:szCs w:val="24"/>
        </w:rPr>
        <w:t>to ready it for consideration by the entire House</w:t>
      </w:r>
      <w:r w:rsidR="00CD7471" w:rsidRPr="00E22272">
        <w:rPr>
          <w:rFonts w:asciiTheme="minorHAnsi" w:hAnsiTheme="minorHAnsi" w:cstheme="minorHAnsi"/>
          <w:szCs w:val="24"/>
        </w:rPr>
        <w:t xml:space="preserve">. </w:t>
      </w:r>
    </w:p>
    <w:p w14:paraId="55FF8D7F" w14:textId="77777777" w:rsidR="000270E3" w:rsidRPr="002A6458" w:rsidRDefault="000270E3" w:rsidP="00CD7471">
      <w:pPr>
        <w:rPr>
          <w:rFonts w:asciiTheme="minorHAnsi" w:hAnsiTheme="minorHAnsi" w:cstheme="minorHAnsi"/>
          <w:sz w:val="18"/>
          <w:szCs w:val="18"/>
        </w:rPr>
      </w:pPr>
    </w:p>
    <w:p w14:paraId="1CA72D94" w14:textId="2CEC8F96" w:rsidR="00CD7471" w:rsidRPr="00E22272" w:rsidRDefault="000270E3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We applaud you for taking action to </w:t>
      </w:r>
      <w:r w:rsidR="00CD7471" w:rsidRPr="00E22272">
        <w:rPr>
          <w:rFonts w:asciiTheme="minorHAnsi" w:hAnsiTheme="minorHAnsi" w:cstheme="minorHAnsi"/>
          <w:szCs w:val="24"/>
        </w:rPr>
        <w:t>ensur</w:t>
      </w:r>
      <w:r w:rsidRPr="00E22272">
        <w:rPr>
          <w:rFonts w:asciiTheme="minorHAnsi" w:hAnsiTheme="minorHAnsi" w:cstheme="minorHAnsi"/>
          <w:szCs w:val="24"/>
        </w:rPr>
        <w:t>e</w:t>
      </w:r>
      <w:r w:rsidR="00CD7471" w:rsidRPr="00E22272">
        <w:rPr>
          <w:rFonts w:asciiTheme="minorHAnsi" w:hAnsiTheme="minorHAnsi" w:cstheme="minorHAnsi"/>
          <w:szCs w:val="24"/>
        </w:rPr>
        <w:t xml:space="preserve"> that physicians spend more time treating patients and less time overcoming bureaucratic hurdles and barriers to care.</w:t>
      </w:r>
      <w:r w:rsidR="001B3219">
        <w:rPr>
          <w:rFonts w:asciiTheme="minorHAnsi" w:hAnsiTheme="minorHAnsi" w:cstheme="minorHAnsi"/>
          <w:szCs w:val="24"/>
        </w:rPr>
        <w:t xml:space="preserve"> </w:t>
      </w:r>
      <w:r w:rsidR="00CD7471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Given the </w:t>
      </w:r>
      <w:r w:rsidR="00C5038F">
        <w:rPr>
          <w:rFonts w:asciiTheme="minorHAnsi" w:hAnsiTheme="minorHAnsi" w:cstheme="minorHAnsi"/>
          <w:szCs w:val="24"/>
        </w:rPr>
        <w:t xml:space="preserve">extensive </w:t>
      </w:r>
      <w:r w:rsidRPr="00E22272">
        <w:rPr>
          <w:rFonts w:asciiTheme="minorHAnsi" w:hAnsiTheme="minorHAnsi" w:cstheme="minorHAnsi"/>
          <w:szCs w:val="24"/>
        </w:rPr>
        <w:t xml:space="preserve">support this legislation </w:t>
      </w:r>
      <w:r w:rsidR="001B3219">
        <w:rPr>
          <w:rFonts w:asciiTheme="minorHAnsi" w:hAnsiTheme="minorHAnsi" w:cstheme="minorHAnsi"/>
          <w:szCs w:val="24"/>
        </w:rPr>
        <w:t>enjoys from</w:t>
      </w:r>
      <w:r w:rsidR="001B3219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so many </w:t>
      </w:r>
      <w:r w:rsidR="001B3219">
        <w:rPr>
          <w:rFonts w:asciiTheme="minorHAnsi" w:hAnsiTheme="minorHAnsi" w:cstheme="minorHAnsi"/>
          <w:szCs w:val="24"/>
        </w:rPr>
        <w:t>Committee members —</w:t>
      </w:r>
      <w:r w:rsidRPr="00E22272">
        <w:rPr>
          <w:rFonts w:asciiTheme="minorHAnsi" w:hAnsiTheme="minorHAnsi" w:cstheme="minorHAnsi"/>
          <w:szCs w:val="24"/>
        </w:rPr>
        <w:t xml:space="preserve"> and more than </w:t>
      </w:r>
      <w:r w:rsidR="00CD7471" w:rsidRPr="00E22272">
        <w:rPr>
          <w:rFonts w:asciiTheme="minorHAnsi" w:hAnsiTheme="minorHAnsi" w:cstheme="minorHAnsi"/>
          <w:szCs w:val="24"/>
        </w:rPr>
        <w:t>3</w:t>
      </w:r>
      <w:r w:rsidRPr="00E22272">
        <w:rPr>
          <w:rFonts w:asciiTheme="minorHAnsi" w:hAnsiTheme="minorHAnsi" w:cstheme="minorHAnsi"/>
          <w:szCs w:val="24"/>
        </w:rPr>
        <w:t>1</w:t>
      </w:r>
      <w:r w:rsidR="00CD7471" w:rsidRPr="00E22272">
        <w:rPr>
          <w:rFonts w:asciiTheme="minorHAnsi" w:hAnsiTheme="minorHAnsi" w:cstheme="minorHAnsi"/>
          <w:szCs w:val="24"/>
        </w:rPr>
        <w:t xml:space="preserve">0 </w:t>
      </w:r>
      <w:r w:rsidRPr="00E22272">
        <w:rPr>
          <w:rFonts w:asciiTheme="minorHAnsi" w:hAnsiTheme="minorHAnsi" w:cstheme="minorHAnsi"/>
          <w:szCs w:val="24"/>
        </w:rPr>
        <w:t xml:space="preserve">total </w:t>
      </w:r>
      <w:r w:rsidR="00CD7471" w:rsidRPr="00E22272">
        <w:rPr>
          <w:rFonts w:asciiTheme="minorHAnsi" w:hAnsiTheme="minorHAnsi" w:cstheme="minorHAnsi"/>
          <w:szCs w:val="24"/>
        </w:rPr>
        <w:t>House co-sponsors</w:t>
      </w:r>
      <w:r w:rsidR="001B3219">
        <w:rPr>
          <w:rFonts w:asciiTheme="minorHAnsi" w:hAnsiTheme="minorHAnsi" w:cstheme="minorHAnsi"/>
          <w:szCs w:val="24"/>
        </w:rPr>
        <w:t xml:space="preserve"> — </w:t>
      </w:r>
      <w:r w:rsidRPr="00E22272">
        <w:rPr>
          <w:rFonts w:asciiTheme="minorHAnsi" w:hAnsiTheme="minorHAnsi" w:cstheme="minorHAnsi"/>
          <w:szCs w:val="24"/>
        </w:rPr>
        <w:t>we are eager to see the bill</w:t>
      </w:r>
      <w:r w:rsidR="001B3219">
        <w:rPr>
          <w:rFonts w:asciiTheme="minorHAnsi" w:hAnsiTheme="minorHAnsi" w:cstheme="minorHAnsi"/>
          <w:szCs w:val="24"/>
        </w:rPr>
        <w:t xml:space="preserve"> advance in the House and on to the Senate for subsequent consideration</w:t>
      </w:r>
      <w:r w:rsidRPr="00E22272">
        <w:rPr>
          <w:rFonts w:asciiTheme="minorHAnsi" w:hAnsiTheme="minorHAnsi" w:cstheme="minorHAnsi"/>
          <w:szCs w:val="24"/>
        </w:rPr>
        <w:t>.  With</w:t>
      </w:r>
      <w:r w:rsidR="002C44A3">
        <w:rPr>
          <w:rFonts w:asciiTheme="minorHAnsi" w:hAnsiTheme="minorHAnsi" w:cstheme="minorHAnsi"/>
          <w:szCs w:val="24"/>
        </w:rPr>
        <w:t xml:space="preserve"> over</w:t>
      </w:r>
      <w:r w:rsidRPr="00E22272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470964" w:rsidRPr="00470964">
          <w:rPr>
            <w:rFonts w:asciiTheme="minorHAnsi" w:hAnsiTheme="minorHAnsi" w:cstheme="minorHAnsi"/>
            <w:color w:val="0000FF" w:themeColor="hyperlink"/>
            <w:szCs w:val="24"/>
            <w:u w:val="single"/>
          </w:rPr>
          <w:t>500</w:t>
        </w:r>
        <w:r w:rsidR="00470964" w:rsidRPr="00470964">
          <w:rPr>
            <w:rFonts w:asciiTheme="minorHAnsi" w:hAnsiTheme="minorHAnsi" w:cstheme="minorHAnsi"/>
            <w:color w:val="0000FF" w:themeColor="hyperlink"/>
            <w:spacing w:val="-2"/>
            <w:szCs w:val="24"/>
            <w:u w:val="single"/>
          </w:rPr>
          <w:t xml:space="preserve"> </w:t>
        </w:r>
        <w:r w:rsidR="00470964" w:rsidRPr="00470964">
          <w:rPr>
            <w:rFonts w:asciiTheme="minorHAnsi" w:hAnsiTheme="minorHAnsi" w:cstheme="minorHAnsi"/>
            <w:color w:val="0000FF" w:themeColor="hyperlink"/>
            <w:szCs w:val="24"/>
            <w:u w:val="single"/>
          </w:rPr>
          <w:t>endorsing</w:t>
        </w:r>
        <w:r w:rsidR="00470964" w:rsidRPr="00470964">
          <w:rPr>
            <w:rFonts w:asciiTheme="minorHAnsi" w:hAnsiTheme="minorHAnsi" w:cstheme="minorHAnsi"/>
            <w:color w:val="0000FF" w:themeColor="hyperlink"/>
            <w:spacing w:val="-2"/>
            <w:szCs w:val="24"/>
            <w:u w:val="single"/>
          </w:rPr>
          <w:t xml:space="preserve"> </w:t>
        </w:r>
        <w:r w:rsidR="00470964" w:rsidRPr="00470964">
          <w:rPr>
            <w:rFonts w:asciiTheme="minorHAnsi" w:hAnsiTheme="minorHAnsi" w:cstheme="minorHAnsi"/>
            <w:color w:val="0000FF" w:themeColor="hyperlink"/>
            <w:szCs w:val="24"/>
            <w:u w:val="single"/>
          </w:rPr>
          <w:t>organizations</w:t>
        </w:r>
      </w:hyperlink>
      <w:r w:rsidR="00470964" w:rsidRPr="003723D2">
        <w:rPr>
          <w:rFonts w:asciiTheme="minorHAnsi" w:hAnsiTheme="minorHAnsi" w:cstheme="minorHAnsi"/>
          <w:color w:val="0000FF" w:themeColor="hyperlink"/>
          <w:szCs w:val="24"/>
        </w:rPr>
        <w:t xml:space="preserve"> </w:t>
      </w:r>
      <w:r w:rsidR="00CD7471" w:rsidRPr="00E22272">
        <w:rPr>
          <w:rFonts w:asciiTheme="minorHAnsi" w:hAnsiTheme="minorHAnsi" w:cstheme="minorHAnsi"/>
          <w:szCs w:val="24"/>
        </w:rPr>
        <w:t xml:space="preserve">representing patients, providers, the medical technology and biopharmaceutical industry, </w:t>
      </w:r>
      <w:r w:rsidR="00BE140F">
        <w:rPr>
          <w:rFonts w:asciiTheme="minorHAnsi" w:hAnsiTheme="minorHAnsi" w:cstheme="minorHAnsi"/>
          <w:szCs w:val="24"/>
        </w:rPr>
        <w:t xml:space="preserve">and health plans, </w:t>
      </w:r>
      <w:r w:rsidR="00CD7471" w:rsidRPr="00E22272">
        <w:rPr>
          <w:rFonts w:asciiTheme="minorHAnsi" w:hAnsiTheme="minorHAnsi" w:cstheme="minorHAnsi"/>
          <w:szCs w:val="24"/>
        </w:rPr>
        <w:t>it is time for this bill to become the law of the land.</w:t>
      </w:r>
    </w:p>
    <w:p w14:paraId="2DDD5C8F" w14:textId="77777777" w:rsidR="000270E3" w:rsidRPr="002A6458" w:rsidRDefault="000270E3" w:rsidP="00CD7471">
      <w:pPr>
        <w:rPr>
          <w:rFonts w:asciiTheme="minorHAnsi" w:hAnsiTheme="minorHAnsi" w:cstheme="minorHAnsi"/>
          <w:sz w:val="18"/>
          <w:szCs w:val="18"/>
        </w:rPr>
      </w:pPr>
    </w:p>
    <w:p w14:paraId="43F92EDD" w14:textId="1D282561" w:rsidR="00BE140F" w:rsidRPr="00BE140F" w:rsidRDefault="00BE140F" w:rsidP="00BE140F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In short, p</w:t>
      </w:r>
      <w:r w:rsidR="00CD7471" w:rsidRPr="00BE140F">
        <w:rPr>
          <w:rFonts w:asciiTheme="minorHAnsi" w:hAnsiTheme="minorHAnsi" w:cstheme="minorHAnsi"/>
          <w:b/>
          <w:bCs/>
          <w:szCs w:val="24"/>
        </w:rPr>
        <w:t>atients and providers continue to face unnecessary delays and denials of medically necessary care due to Medicare Advantage (MA) plans’ prior authorization requirements.</w:t>
      </w:r>
      <w:r w:rsidR="001B3219">
        <w:rPr>
          <w:rFonts w:asciiTheme="minorHAnsi" w:hAnsiTheme="minorHAnsi" w:cstheme="minorHAnsi"/>
          <w:b/>
          <w:bCs/>
          <w:szCs w:val="24"/>
        </w:rPr>
        <w:t xml:space="preserve"> </w:t>
      </w:r>
      <w:r w:rsidR="00CD7471" w:rsidRPr="00BE140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E140F">
        <w:rPr>
          <w:rFonts w:asciiTheme="minorHAnsi" w:hAnsiTheme="minorHAnsi" w:cstheme="minorHAnsi"/>
          <w:b/>
          <w:bCs/>
          <w:szCs w:val="24"/>
        </w:rPr>
        <w:t xml:space="preserve">The Improving Seniors’ Timely Access to Care Act </w:t>
      </w:r>
      <w:r>
        <w:rPr>
          <w:rFonts w:asciiTheme="minorHAnsi" w:hAnsiTheme="minorHAnsi" w:cstheme="minorHAnsi"/>
          <w:b/>
          <w:bCs/>
          <w:szCs w:val="24"/>
        </w:rPr>
        <w:t>would</w:t>
      </w:r>
      <w:r w:rsidRPr="00BE140F">
        <w:rPr>
          <w:rFonts w:asciiTheme="minorHAnsi" w:hAnsiTheme="minorHAnsi" w:cstheme="minorHAnsi"/>
          <w:b/>
          <w:bCs/>
          <w:szCs w:val="24"/>
        </w:rPr>
        <w:t xml:space="preserve"> streamlin</w:t>
      </w:r>
      <w:r>
        <w:rPr>
          <w:rFonts w:asciiTheme="minorHAnsi" w:hAnsiTheme="minorHAnsi" w:cstheme="minorHAnsi"/>
          <w:b/>
          <w:bCs/>
          <w:szCs w:val="24"/>
        </w:rPr>
        <w:t>e</w:t>
      </w:r>
      <w:r w:rsidRPr="00BE140F">
        <w:rPr>
          <w:rFonts w:asciiTheme="minorHAnsi" w:hAnsiTheme="minorHAnsi" w:cstheme="minorHAnsi"/>
          <w:b/>
          <w:bCs/>
          <w:szCs w:val="24"/>
        </w:rPr>
        <w:t xml:space="preserve"> and standardiz</w:t>
      </w:r>
      <w:r>
        <w:rPr>
          <w:rFonts w:asciiTheme="minorHAnsi" w:hAnsiTheme="minorHAnsi" w:cstheme="minorHAnsi"/>
          <w:b/>
          <w:bCs/>
          <w:szCs w:val="24"/>
        </w:rPr>
        <w:t>e</w:t>
      </w:r>
      <w:r w:rsidRPr="00BE140F">
        <w:rPr>
          <w:rFonts w:asciiTheme="minorHAnsi" w:hAnsiTheme="minorHAnsi" w:cstheme="minorHAnsi"/>
          <w:b/>
          <w:bCs/>
          <w:szCs w:val="24"/>
        </w:rPr>
        <w:t xml:space="preserve"> prior authorization in the MA program by, among other things: </w:t>
      </w:r>
    </w:p>
    <w:p w14:paraId="4987B0E5" w14:textId="77777777" w:rsidR="00BE140F" w:rsidRPr="00E22272" w:rsidRDefault="00BE140F" w:rsidP="00BE14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Establishing an electronic prior authorization (</w:t>
      </w:r>
      <w:proofErr w:type="spellStart"/>
      <w:r w:rsidRPr="00E22272">
        <w:rPr>
          <w:rFonts w:asciiTheme="minorHAnsi" w:hAnsiTheme="minorHAnsi" w:cstheme="minorHAnsi"/>
          <w:szCs w:val="24"/>
        </w:rPr>
        <w:t>ePA</w:t>
      </w:r>
      <w:proofErr w:type="spellEnd"/>
      <w:r w:rsidRPr="00E22272">
        <w:rPr>
          <w:rFonts w:asciiTheme="minorHAnsi" w:hAnsiTheme="minorHAnsi" w:cstheme="minorHAnsi"/>
          <w:szCs w:val="24"/>
        </w:rPr>
        <w:t xml:space="preserve">) </w:t>
      </w:r>
      <w:proofErr w:type="gramStart"/>
      <w:r w:rsidRPr="00E22272">
        <w:rPr>
          <w:rFonts w:asciiTheme="minorHAnsi" w:hAnsiTheme="minorHAnsi" w:cstheme="minorHAnsi"/>
          <w:szCs w:val="24"/>
        </w:rPr>
        <w:t>program;</w:t>
      </w:r>
      <w:proofErr w:type="gramEnd"/>
      <w:r w:rsidRPr="00E22272">
        <w:rPr>
          <w:rFonts w:asciiTheme="minorHAnsi" w:hAnsiTheme="minorHAnsi" w:cstheme="minorHAnsi"/>
          <w:szCs w:val="24"/>
        </w:rPr>
        <w:t xml:space="preserve"> </w:t>
      </w:r>
    </w:p>
    <w:p w14:paraId="759A2E82" w14:textId="77777777" w:rsidR="00BE140F" w:rsidRPr="00E22272" w:rsidRDefault="00BE140F" w:rsidP="00BE140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Standardizing and streamlining the prior authorization process for routinely approved </w:t>
      </w:r>
    </w:p>
    <w:p w14:paraId="36F731F4" w14:textId="77777777" w:rsidR="00BE140F" w:rsidRPr="00E22272" w:rsidRDefault="00BE140F" w:rsidP="00BE140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services, including establishing a list of services eligible for real-time prior authorization </w:t>
      </w:r>
    </w:p>
    <w:p w14:paraId="3D87CCEB" w14:textId="689F1CD6" w:rsidR="00760BB3" w:rsidRPr="002A6458" w:rsidRDefault="00BE140F" w:rsidP="003723D2">
      <w:pPr>
        <w:pStyle w:val="ListParagraph"/>
        <w:rPr>
          <w:rFonts w:asciiTheme="minorHAnsi" w:hAnsiTheme="minorHAnsi" w:cstheme="minorHAnsi"/>
          <w:szCs w:val="24"/>
        </w:rPr>
      </w:pPr>
      <w:r w:rsidRPr="001B3219">
        <w:rPr>
          <w:rFonts w:asciiTheme="minorHAnsi" w:hAnsiTheme="minorHAnsi" w:cstheme="minorHAnsi"/>
          <w:szCs w:val="24"/>
        </w:rPr>
        <w:t>decisions; and</w:t>
      </w:r>
    </w:p>
    <w:p w14:paraId="13A89F80" w14:textId="77777777" w:rsidR="00760BB3" w:rsidRPr="00E22272" w:rsidRDefault="00760BB3" w:rsidP="00760B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 xml:space="preserve">Increasing transparency around MA prior authorization requirements and their use. </w:t>
      </w:r>
    </w:p>
    <w:p w14:paraId="4843306A" w14:textId="51AAA5AE" w:rsidR="00745134" w:rsidRDefault="00745134" w:rsidP="00CD7471">
      <w:pPr>
        <w:rPr>
          <w:rFonts w:asciiTheme="minorHAnsi" w:hAnsiTheme="minorHAnsi" w:cstheme="minorHAnsi"/>
          <w:b/>
          <w:bCs/>
          <w:szCs w:val="24"/>
        </w:rPr>
      </w:pPr>
    </w:p>
    <w:p w14:paraId="395AA019" w14:textId="3340C31C" w:rsidR="00CD7471" w:rsidRPr="00E22272" w:rsidRDefault="00745134" w:rsidP="00CD747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 c</w:t>
      </w:r>
      <w:r w:rsidR="00CD7471" w:rsidRPr="00E22272">
        <w:rPr>
          <w:rFonts w:asciiTheme="minorHAnsi" w:hAnsiTheme="minorHAnsi" w:cstheme="minorHAnsi"/>
          <w:szCs w:val="24"/>
        </w:rPr>
        <w:t>onsider the following data from</w:t>
      </w:r>
      <w:r>
        <w:rPr>
          <w:rFonts w:asciiTheme="minorHAnsi" w:hAnsiTheme="minorHAnsi" w:cstheme="minorHAnsi"/>
          <w:szCs w:val="24"/>
        </w:rPr>
        <w:t xml:space="preserve"> a</w:t>
      </w:r>
      <w:r w:rsidR="00CD7471" w:rsidRPr="00E22272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E22272" w:rsidRPr="00E22272">
          <w:rPr>
            <w:rStyle w:val="Hyperlink"/>
            <w:rFonts w:asciiTheme="minorHAnsi" w:hAnsiTheme="minorHAnsi" w:cstheme="minorHAnsi"/>
            <w:szCs w:val="24"/>
          </w:rPr>
          <w:t>recent survey of RRC members</w:t>
        </w:r>
      </w:hyperlink>
      <w:r w:rsidR="002A6458">
        <w:rPr>
          <w:rFonts w:asciiTheme="minorHAnsi" w:hAnsiTheme="minorHAnsi" w:cstheme="minorHAnsi"/>
          <w:szCs w:val="24"/>
        </w:rPr>
        <w:t>:</w:t>
      </w:r>
    </w:p>
    <w:p w14:paraId="4133861E" w14:textId="77777777" w:rsidR="003723D2" w:rsidRDefault="003723D2" w:rsidP="00CD7471">
      <w:pPr>
        <w:rPr>
          <w:rFonts w:asciiTheme="minorHAnsi" w:hAnsiTheme="minorHAnsi" w:cstheme="minorHAnsi"/>
          <w:szCs w:val="24"/>
        </w:rPr>
        <w:sectPr w:rsidR="003723D2" w:rsidSect="000341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7A3DD2B3" w14:textId="77777777" w:rsidR="000270E3" w:rsidRPr="00E22272" w:rsidRDefault="000270E3" w:rsidP="00CD7471">
      <w:pPr>
        <w:rPr>
          <w:rFonts w:asciiTheme="minorHAnsi" w:hAnsiTheme="minorHAnsi" w:cstheme="minorHAnsi"/>
          <w:szCs w:val="24"/>
        </w:rPr>
      </w:pPr>
    </w:p>
    <w:p w14:paraId="64BCACDB" w14:textId="77777777" w:rsidR="00CD7471" w:rsidRPr="00BE140F" w:rsidRDefault="00CD7471" w:rsidP="002A6458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BE140F">
        <w:rPr>
          <w:rFonts w:asciiTheme="minorHAnsi" w:hAnsiTheme="minorHAnsi" w:cstheme="minorHAnsi"/>
          <w:b/>
          <w:bCs/>
          <w:szCs w:val="24"/>
        </w:rPr>
        <w:t>Patient Access to Care Has Been Impacted</w:t>
      </w:r>
    </w:p>
    <w:p w14:paraId="7C5361C5" w14:textId="13A4EC6F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Eighty-two percent of respondents state that prior authorization always (37%) or often</w:t>
      </w:r>
      <w:r w:rsidR="00E22272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>(45%) delays access to necessary care.</w:t>
      </w:r>
    </w:p>
    <w:p w14:paraId="4BFB436C" w14:textId="282EB7FB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The wait time for prior authorization can be lengthy.</w:t>
      </w:r>
      <w:r w:rsidR="001B3219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 For most physicians (74%), it takes</w:t>
      </w:r>
      <w:r w:rsidR="00E22272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between 2 to 14 days to obtain prior authorization, but for 15%, this process can take </w:t>
      </w:r>
      <w:r w:rsidR="00E22272" w:rsidRPr="00E22272">
        <w:rPr>
          <w:rFonts w:asciiTheme="minorHAnsi" w:hAnsiTheme="minorHAnsi" w:cstheme="minorHAnsi"/>
          <w:szCs w:val="24"/>
        </w:rPr>
        <w:t>f</w:t>
      </w:r>
      <w:r w:rsidRPr="00E22272">
        <w:rPr>
          <w:rFonts w:asciiTheme="minorHAnsi" w:hAnsiTheme="minorHAnsi" w:cstheme="minorHAnsi"/>
          <w:szCs w:val="24"/>
        </w:rPr>
        <w:t>rom 15 to more than 31 days.</w:t>
      </w:r>
    </w:p>
    <w:p w14:paraId="170282C5" w14:textId="2F77ECE0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Prior authorization causes patients to abandon treatment altogether, with 32% reporting that patients often abandon treatment and 50% reporting that patients sometimes abandon treatment.</w:t>
      </w:r>
    </w:p>
    <w:p w14:paraId="273A79C1" w14:textId="034AADE5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Overwhelmingly (87%), physicians report that prior authorization has a significant (40%) or somewhat (47%) negative impact on patient clinical outcomes.</w:t>
      </w:r>
    </w:p>
    <w:p w14:paraId="43FC05C5" w14:textId="77777777" w:rsidR="00E22272" w:rsidRPr="00E22272" w:rsidRDefault="00E22272" w:rsidP="002A6458">
      <w:pPr>
        <w:ind w:left="360"/>
        <w:rPr>
          <w:rFonts w:asciiTheme="minorHAnsi" w:hAnsiTheme="minorHAnsi" w:cstheme="minorHAnsi"/>
          <w:szCs w:val="24"/>
        </w:rPr>
      </w:pPr>
    </w:p>
    <w:p w14:paraId="2C533CC1" w14:textId="56EFAE3C" w:rsidR="00CD7471" w:rsidRPr="00BE140F" w:rsidRDefault="00CD7471" w:rsidP="002A6458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BE140F">
        <w:rPr>
          <w:rFonts w:asciiTheme="minorHAnsi" w:hAnsiTheme="minorHAnsi" w:cstheme="minorHAnsi"/>
          <w:b/>
          <w:bCs/>
          <w:szCs w:val="24"/>
        </w:rPr>
        <w:t>Prior Authorization Burden Has Increased</w:t>
      </w:r>
    </w:p>
    <w:p w14:paraId="302B3BDC" w14:textId="32F1B087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Eighty-four percent of (84%) physicians report that the burden associated with prior authorization has significantly increased over the past five years.</w:t>
      </w:r>
    </w:p>
    <w:p w14:paraId="05EE51B4" w14:textId="71A418EC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The burden of prior authorization for physicians and their staff is high or extremely high (92%).</w:t>
      </w:r>
    </w:p>
    <w:p w14:paraId="6260E9F8" w14:textId="2354E570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Most physicians (42%) in any given week must contend with between 11 and 40 prior authorizations.</w:t>
      </w:r>
      <w:r w:rsidR="001B3219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 One-fifth of respondents face more than 40 per week.</w:t>
      </w:r>
    </w:p>
    <w:p w14:paraId="093B5C7E" w14:textId="0AF2B795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Many physicians must now engage in the peer-to-peer process to obtain prior</w:t>
      </w:r>
      <w:r w:rsidR="00E22272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>authorization.</w:t>
      </w:r>
      <w:r w:rsidR="001B3219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 xml:space="preserve"> Nearly 20% of respondents experience this requirement for 26 to 75% or</w:t>
      </w:r>
      <w:r w:rsidR="00E22272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>more of their services.</w:t>
      </w:r>
    </w:p>
    <w:p w14:paraId="5BD30A51" w14:textId="7B4F266D" w:rsidR="00CD7471" w:rsidRPr="00E22272" w:rsidRDefault="00CD7471" w:rsidP="002A6458">
      <w:pPr>
        <w:pStyle w:val="ListParagraph"/>
        <w:numPr>
          <w:ilvl w:val="0"/>
          <w:numId w:val="3"/>
        </w:numPr>
        <w:ind w:left="108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Nearly three-fifths (59%) of physicians have staff members working exclusively on prior</w:t>
      </w:r>
      <w:r w:rsidR="00E22272" w:rsidRPr="00E22272">
        <w:rPr>
          <w:rFonts w:asciiTheme="minorHAnsi" w:hAnsiTheme="minorHAnsi" w:cstheme="minorHAnsi"/>
          <w:szCs w:val="24"/>
        </w:rPr>
        <w:t xml:space="preserve"> </w:t>
      </w:r>
      <w:r w:rsidRPr="00E22272">
        <w:rPr>
          <w:rFonts w:asciiTheme="minorHAnsi" w:hAnsiTheme="minorHAnsi" w:cstheme="minorHAnsi"/>
          <w:szCs w:val="24"/>
        </w:rPr>
        <w:t>authorization, with most staff spending between 10-20 hours per week.</w:t>
      </w:r>
    </w:p>
    <w:p w14:paraId="26822FA4" w14:textId="77777777" w:rsidR="00E22272" w:rsidRPr="00E22272" w:rsidRDefault="00E22272" w:rsidP="00E22272">
      <w:pPr>
        <w:pStyle w:val="ListParagraph"/>
        <w:rPr>
          <w:rFonts w:asciiTheme="minorHAnsi" w:hAnsiTheme="minorHAnsi" w:cstheme="minorHAnsi"/>
          <w:szCs w:val="24"/>
        </w:rPr>
      </w:pPr>
    </w:p>
    <w:p w14:paraId="4A3FB7D7" w14:textId="7643E9B9" w:rsidR="00CD7471" w:rsidRPr="00BE140F" w:rsidRDefault="002A6458" w:rsidP="00CD7471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Further, t</w:t>
      </w:r>
      <w:r w:rsidR="00CD7471" w:rsidRPr="00BE140F">
        <w:rPr>
          <w:rFonts w:asciiTheme="minorHAnsi" w:hAnsiTheme="minorHAnsi" w:cstheme="minorHAnsi"/>
          <w:b/>
          <w:bCs/>
          <w:szCs w:val="24"/>
        </w:rPr>
        <w:t xml:space="preserve">he U.S. Department of Health and Human Services Office of Inspector General (OIG) </w:t>
      </w:r>
    </w:p>
    <w:p w14:paraId="57CB1972" w14:textId="77777777" w:rsidR="00745134" w:rsidRPr="00BE140F" w:rsidRDefault="00CD7471" w:rsidP="00CD7471">
      <w:pPr>
        <w:rPr>
          <w:rFonts w:asciiTheme="minorHAnsi" w:hAnsiTheme="minorHAnsi" w:cstheme="minorHAnsi"/>
          <w:b/>
          <w:bCs/>
          <w:szCs w:val="24"/>
        </w:rPr>
      </w:pPr>
      <w:r w:rsidRPr="00BE140F">
        <w:rPr>
          <w:rFonts w:asciiTheme="minorHAnsi" w:hAnsiTheme="minorHAnsi" w:cstheme="minorHAnsi"/>
          <w:b/>
          <w:bCs/>
          <w:szCs w:val="24"/>
        </w:rPr>
        <w:t xml:space="preserve">confirmed our concerns that MA </w:t>
      </w:r>
      <w:proofErr w:type="gramStart"/>
      <w:r w:rsidRPr="00BE140F">
        <w:rPr>
          <w:rFonts w:asciiTheme="minorHAnsi" w:hAnsiTheme="minorHAnsi" w:cstheme="minorHAnsi"/>
          <w:b/>
          <w:bCs/>
          <w:szCs w:val="24"/>
        </w:rPr>
        <w:t>plans’</w:t>
      </w:r>
      <w:proofErr w:type="gramEnd"/>
      <w:r w:rsidRPr="00BE140F">
        <w:rPr>
          <w:rFonts w:asciiTheme="minorHAnsi" w:hAnsiTheme="minorHAnsi" w:cstheme="minorHAnsi"/>
          <w:b/>
          <w:bCs/>
          <w:szCs w:val="24"/>
        </w:rPr>
        <w:t xml:space="preserve"> are inappropriately delaying and denying care. </w:t>
      </w:r>
    </w:p>
    <w:p w14:paraId="315FBB6B" w14:textId="77777777" w:rsidR="00745134" w:rsidRDefault="00E22272" w:rsidP="007451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45134">
        <w:rPr>
          <w:rFonts w:asciiTheme="minorHAnsi" w:hAnsiTheme="minorHAnsi" w:cstheme="minorHAnsi"/>
          <w:szCs w:val="24"/>
        </w:rPr>
        <w:t>In</w:t>
      </w:r>
      <w:r w:rsidR="00CD7471" w:rsidRPr="00745134">
        <w:rPr>
          <w:rFonts w:asciiTheme="minorHAnsi" w:hAnsiTheme="minorHAnsi" w:cstheme="minorHAnsi"/>
          <w:szCs w:val="24"/>
        </w:rPr>
        <w:t xml:space="preserve"> April of this year, the OIG released a report finding that an estimated 13% of denied prior authorization requests reviewed met Medicare coverage rules and likely would have been approved under fee-for-service Medicare. </w:t>
      </w:r>
    </w:p>
    <w:p w14:paraId="4563C8C3" w14:textId="0DF955DD" w:rsidR="00CD7471" w:rsidRPr="00745134" w:rsidRDefault="00CD7471" w:rsidP="0074513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745134">
        <w:rPr>
          <w:rFonts w:asciiTheme="minorHAnsi" w:hAnsiTheme="minorHAnsi" w:cstheme="minorHAnsi"/>
          <w:szCs w:val="24"/>
        </w:rPr>
        <w:t xml:space="preserve">Moreover, the OIG found that about 18% of denied payment requests met Medicare coverage and Medicare Advantage billing rules. </w:t>
      </w:r>
    </w:p>
    <w:p w14:paraId="09AE587F" w14:textId="77777777" w:rsidR="00E22272" w:rsidRPr="002A6458" w:rsidRDefault="00E22272" w:rsidP="00CD7471">
      <w:pPr>
        <w:rPr>
          <w:rFonts w:asciiTheme="minorHAnsi" w:hAnsiTheme="minorHAnsi" w:cstheme="minorHAnsi"/>
          <w:sz w:val="20"/>
          <w:szCs w:val="20"/>
        </w:rPr>
      </w:pPr>
    </w:p>
    <w:p w14:paraId="29CCBC63" w14:textId="1E087EF0" w:rsidR="00CD7471" w:rsidRDefault="00BE140F" w:rsidP="00E2227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</w:t>
      </w:r>
      <w:r w:rsidRPr="00E22272">
        <w:rPr>
          <w:rFonts w:asciiTheme="minorHAnsi" w:hAnsiTheme="minorHAnsi" w:cstheme="minorHAnsi"/>
          <w:szCs w:val="24"/>
        </w:rPr>
        <w:t xml:space="preserve"> RRC </w:t>
      </w:r>
      <w:r w:rsidR="001B3219">
        <w:rPr>
          <w:rFonts w:asciiTheme="minorHAnsi" w:hAnsiTheme="minorHAnsi" w:cstheme="minorHAnsi"/>
          <w:szCs w:val="24"/>
        </w:rPr>
        <w:t xml:space="preserve">thanks the </w:t>
      </w:r>
      <w:r w:rsidR="001B3219" w:rsidRPr="00E22272">
        <w:rPr>
          <w:rFonts w:asciiTheme="minorHAnsi" w:hAnsiTheme="minorHAnsi" w:cstheme="minorHAnsi"/>
          <w:szCs w:val="24"/>
        </w:rPr>
        <w:t xml:space="preserve">overwhelming number of </w:t>
      </w:r>
      <w:r w:rsidR="001B3219">
        <w:rPr>
          <w:rFonts w:asciiTheme="minorHAnsi" w:hAnsiTheme="minorHAnsi" w:cstheme="minorHAnsi"/>
          <w:szCs w:val="24"/>
        </w:rPr>
        <w:t xml:space="preserve">Energy and Commerce Committee members who have </w:t>
      </w:r>
      <w:r w:rsidR="001B3219" w:rsidRPr="00E22272">
        <w:rPr>
          <w:rFonts w:asciiTheme="minorHAnsi" w:hAnsiTheme="minorHAnsi" w:cstheme="minorHAnsi"/>
          <w:szCs w:val="24"/>
        </w:rPr>
        <w:t>co-sponsor</w:t>
      </w:r>
      <w:r w:rsidR="001B3219">
        <w:rPr>
          <w:rFonts w:asciiTheme="minorHAnsi" w:hAnsiTheme="minorHAnsi" w:cstheme="minorHAnsi"/>
          <w:szCs w:val="24"/>
        </w:rPr>
        <w:t>ed</w:t>
      </w:r>
      <w:r w:rsidR="001B3219" w:rsidRPr="00E22272">
        <w:rPr>
          <w:rFonts w:asciiTheme="minorHAnsi" w:hAnsiTheme="minorHAnsi" w:cstheme="minorHAnsi"/>
          <w:szCs w:val="24"/>
        </w:rPr>
        <w:t xml:space="preserve"> the bill</w:t>
      </w:r>
      <w:r w:rsidR="001B3219">
        <w:rPr>
          <w:rFonts w:asciiTheme="minorHAnsi" w:hAnsiTheme="minorHAnsi" w:cstheme="minorHAnsi"/>
          <w:szCs w:val="24"/>
        </w:rPr>
        <w:t xml:space="preserve">.  We </w:t>
      </w:r>
      <w:r w:rsidRPr="00E22272">
        <w:rPr>
          <w:rFonts w:asciiTheme="minorHAnsi" w:hAnsiTheme="minorHAnsi" w:cstheme="minorHAnsi"/>
          <w:szCs w:val="24"/>
        </w:rPr>
        <w:t>especially appreciate the stalwart work of Committee member Larry Bucshon (R-IN)</w:t>
      </w:r>
      <w:r w:rsidR="002A6458">
        <w:rPr>
          <w:rFonts w:asciiTheme="minorHAnsi" w:hAnsiTheme="minorHAnsi" w:cstheme="minorHAnsi"/>
          <w:szCs w:val="24"/>
        </w:rPr>
        <w:t xml:space="preserve">, one of the </w:t>
      </w:r>
      <w:r w:rsidR="001B3219">
        <w:rPr>
          <w:rFonts w:asciiTheme="minorHAnsi" w:hAnsiTheme="minorHAnsi" w:cstheme="minorHAnsi"/>
          <w:szCs w:val="24"/>
        </w:rPr>
        <w:t>bill’s lead sponsors</w:t>
      </w:r>
      <w:r w:rsidRPr="00E22272">
        <w:rPr>
          <w:rFonts w:asciiTheme="minorHAnsi" w:hAnsiTheme="minorHAnsi" w:cstheme="minorHAnsi"/>
          <w:szCs w:val="24"/>
        </w:rPr>
        <w:t>.</w:t>
      </w:r>
      <w:r w:rsidR="002A6458">
        <w:rPr>
          <w:rFonts w:asciiTheme="minorHAnsi" w:hAnsiTheme="minorHAnsi" w:cstheme="minorHAnsi"/>
          <w:szCs w:val="24"/>
        </w:rPr>
        <w:t xml:space="preserve">  </w:t>
      </w:r>
      <w:r w:rsidR="00760BB3">
        <w:rPr>
          <w:rFonts w:asciiTheme="minorHAnsi" w:hAnsiTheme="minorHAnsi" w:cstheme="minorHAnsi"/>
          <w:szCs w:val="24"/>
        </w:rPr>
        <w:t xml:space="preserve">We commend you for </w:t>
      </w:r>
      <w:r w:rsidR="00CD7471" w:rsidRPr="00E22272">
        <w:rPr>
          <w:rFonts w:asciiTheme="minorHAnsi" w:hAnsiTheme="minorHAnsi" w:cstheme="minorHAnsi"/>
          <w:szCs w:val="24"/>
        </w:rPr>
        <w:t>moving this critical legislation forward</w:t>
      </w:r>
      <w:r w:rsidR="00760BB3">
        <w:rPr>
          <w:rFonts w:asciiTheme="minorHAnsi" w:hAnsiTheme="minorHAnsi" w:cstheme="minorHAnsi"/>
          <w:szCs w:val="24"/>
        </w:rPr>
        <w:t xml:space="preserve"> and are eager to work with you to ensure its enactment into law before the end of the year</w:t>
      </w:r>
      <w:r w:rsidR="00CD7471" w:rsidRPr="00E22272">
        <w:rPr>
          <w:rFonts w:asciiTheme="minorHAnsi" w:hAnsiTheme="minorHAnsi" w:cstheme="minorHAnsi"/>
          <w:szCs w:val="24"/>
        </w:rPr>
        <w:t xml:space="preserve">. </w:t>
      </w:r>
    </w:p>
    <w:p w14:paraId="131D2BB0" w14:textId="44B662CA" w:rsidR="001B3219" w:rsidRDefault="001B3219" w:rsidP="00E22272">
      <w:pPr>
        <w:rPr>
          <w:rFonts w:asciiTheme="minorHAnsi" w:hAnsiTheme="minorHAnsi" w:cstheme="minorHAnsi"/>
          <w:szCs w:val="24"/>
        </w:rPr>
      </w:pPr>
    </w:p>
    <w:p w14:paraId="107F0B63" w14:textId="77777777" w:rsidR="001B3219" w:rsidRPr="00832F53" w:rsidRDefault="001B3219" w:rsidP="001B3219">
      <w:pPr>
        <w:rPr>
          <w:rFonts w:asciiTheme="minorHAnsi" w:hAnsiTheme="minorHAnsi" w:cstheme="minorHAnsi"/>
          <w:spacing w:val="-1"/>
          <w:szCs w:val="24"/>
        </w:rPr>
      </w:pPr>
      <w:r w:rsidRPr="00832F53">
        <w:rPr>
          <w:rFonts w:asciiTheme="minorHAnsi" w:hAnsiTheme="minorHAnsi" w:cstheme="minorHAnsi"/>
          <w:spacing w:val="-1"/>
          <w:szCs w:val="24"/>
        </w:rPr>
        <w:t xml:space="preserve">If you have any questions, please contact Peggy Tighe at </w:t>
      </w:r>
      <w:hyperlink r:id="rId17" w:history="1">
        <w:r w:rsidRPr="00F46B54">
          <w:rPr>
            <w:rStyle w:val="Hyperlink"/>
            <w:rFonts w:asciiTheme="minorHAnsi" w:hAnsiTheme="minorHAnsi" w:cstheme="minorHAnsi"/>
            <w:spacing w:val="-1"/>
            <w:szCs w:val="24"/>
          </w:rPr>
          <w:t>Peggy.Tighe@PowersLaw.com</w:t>
        </w:r>
      </w:hyperlink>
      <w:r w:rsidRPr="00832F53">
        <w:rPr>
          <w:rFonts w:asciiTheme="minorHAnsi" w:hAnsiTheme="minorHAnsi" w:cstheme="minorHAnsi"/>
          <w:spacing w:val="-1"/>
          <w:szCs w:val="24"/>
        </w:rPr>
        <w:t>.</w:t>
      </w:r>
    </w:p>
    <w:p w14:paraId="74E486A4" w14:textId="77777777" w:rsidR="001B3219" w:rsidRDefault="001B3219" w:rsidP="001B3219">
      <w:pPr>
        <w:rPr>
          <w:rFonts w:asciiTheme="minorHAnsi" w:hAnsiTheme="minorHAnsi" w:cstheme="minorHAnsi"/>
          <w:spacing w:val="-1"/>
          <w:szCs w:val="24"/>
        </w:rPr>
      </w:pPr>
    </w:p>
    <w:p w14:paraId="72560B34" w14:textId="46FA7B14" w:rsidR="003723D2" w:rsidRPr="00F01883" w:rsidRDefault="001B3219" w:rsidP="00E22272">
      <w:pPr>
        <w:rPr>
          <w:rFonts w:asciiTheme="minorHAnsi" w:hAnsiTheme="minorHAnsi" w:cstheme="minorHAnsi"/>
          <w:spacing w:val="-1"/>
          <w:szCs w:val="24"/>
        </w:rPr>
      </w:pPr>
      <w:r>
        <w:rPr>
          <w:rFonts w:asciiTheme="minorHAnsi" w:hAnsiTheme="minorHAnsi" w:cstheme="minorHAnsi"/>
          <w:spacing w:val="-1"/>
          <w:szCs w:val="24"/>
        </w:rPr>
        <w:t>Thank you.</w:t>
      </w:r>
    </w:p>
    <w:p w14:paraId="75DC2017" w14:textId="77777777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</w:p>
    <w:p w14:paraId="16231780" w14:textId="77777777" w:rsidR="003723D2" w:rsidRDefault="003723D2" w:rsidP="00CD7471">
      <w:pPr>
        <w:rPr>
          <w:rFonts w:asciiTheme="minorHAnsi" w:hAnsiTheme="minorHAnsi" w:cstheme="minorHAnsi"/>
          <w:szCs w:val="24"/>
        </w:rPr>
      </w:pPr>
    </w:p>
    <w:p w14:paraId="2E63DE0F" w14:textId="5A9B629D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lastRenderedPageBreak/>
        <w:t>Sincerely,</w:t>
      </w:r>
    </w:p>
    <w:p w14:paraId="5974FF96" w14:textId="77777777" w:rsidR="00E22272" w:rsidRPr="00E22272" w:rsidRDefault="00E22272" w:rsidP="00CD7471">
      <w:pPr>
        <w:rPr>
          <w:rFonts w:asciiTheme="minorHAnsi" w:hAnsiTheme="minorHAnsi" w:cstheme="minorHAnsi"/>
          <w:szCs w:val="24"/>
        </w:rPr>
      </w:pPr>
    </w:p>
    <w:p w14:paraId="484AB2DA" w14:textId="64C8C369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RRC Members</w:t>
      </w:r>
    </w:p>
    <w:p w14:paraId="74BC2105" w14:textId="77777777" w:rsidR="00CD7471" w:rsidRPr="00E22272" w:rsidRDefault="00CD7471" w:rsidP="001B3219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Academy of Family Physicians</w:t>
      </w:r>
    </w:p>
    <w:p w14:paraId="704BB61F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Academy of Neurology</w:t>
      </w:r>
    </w:p>
    <w:p w14:paraId="2396C677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Academy of Ophthalmology</w:t>
      </w:r>
    </w:p>
    <w:p w14:paraId="6A4878CD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Academy of Physical Medicine and Rehabilitation</w:t>
      </w:r>
    </w:p>
    <w:p w14:paraId="794F4BCD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Association of Neurological Surgeons</w:t>
      </w:r>
    </w:p>
    <w:p w14:paraId="721BF6EC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Association of Orthopaedic Surgeons</w:t>
      </w:r>
    </w:p>
    <w:p w14:paraId="35DCBAE3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College of Cardiology</w:t>
      </w:r>
    </w:p>
    <w:p w14:paraId="6FFA79BE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College of Rheumatology</w:t>
      </w:r>
    </w:p>
    <w:p w14:paraId="771D61B6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College of Surgeons</w:t>
      </w:r>
    </w:p>
    <w:p w14:paraId="3D3A6E57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Gastroenterological Association</w:t>
      </w:r>
    </w:p>
    <w:p w14:paraId="05A7D6C0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Osteopathic Association</w:t>
      </w:r>
    </w:p>
    <w:p w14:paraId="12E640BF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Association For Clinical Oncology</w:t>
      </w:r>
    </w:p>
    <w:p w14:paraId="264E8D52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Congress of Neurological Surgeons</w:t>
      </w:r>
    </w:p>
    <w:p w14:paraId="2E904387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Medical Group Management Association</w:t>
      </w:r>
    </w:p>
    <w:p w14:paraId="6F7B697B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National Association of Spine Specialists</w:t>
      </w:r>
    </w:p>
    <w:p w14:paraId="6C8A92E9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Society for Cardiovascular Angiography &amp; Interventions</w:t>
      </w:r>
    </w:p>
    <w:p w14:paraId="13C86694" w14:textId="77777777" w:rsidR="00E22272" w:rsidRPr="00E22272" w:rsidRDefault="00E22272" w:rsidP="00CD7471">
      <w:pPr>
        <w:rPr>
          <w:rFonts w:asciiTheme="minorHAnsi" w:hAnsiTheme="minorHAnsi" w:cstheme="minorHAnsi"/>
          <w:szCs w:val="24"/>
        </w:rPr>
      </w:pPr>
    </w:p>
    <w:p w14:paraId="1B32DEF8" w14:textId="787DF90D" w:rsidR="00CD7471" w:rsidRPr="00E22272" w:rsidRDefault="00CD7471" w:rsidP="00CD7471">
      <w:pPr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RRC Allies</w:t>
      </w:r>
    </w:p>
    <w:p w14:paraId="09A0A058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American Medical Rehabilitation Providers Association</w:t>
      </w:r>
    </w:p>
    <w:p w14:paraId="7234180C" w14:textId="77777777" w:rsidR="00CD7471" w:rsidRPr="00E22272" w:rsidRDefault="00CD7471" w:rsidP="00F01883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Premier</w:t>
      </w:r>
    </w:p>
    <w:p w14:paraId="49EA7FDD" w14:textId="1736443C" w:rsidR="00D0474D" w:rsidRDefault="00CD7471" w:rsidP="001B3219">
      <w:pPr>
        <w:ind w:left="360"/>
        <w:rPr>
          <w:rFonts w:asciiTheme="minorHAnsi" w:hAnsiTheme="minorHAnsi" w:cstheme="minorHAnsi"/>
          <w:szCs w:val="24"/>
        </w:rPr>
      </w:pPr>
      <w:r w:rsidRPr="00E22272">
        <w:rPr>
          <w:rFonts w:asciiTheme="minorHAnsi" w:hAnsiTheme="minorHAnsi" w:cstheme="minorHAnsi"/>
          <w:szCs w:val="24"/>
        </w:rPr>
        <w:t>Select Medical</w:t>
      </w:r>
    </w:p>
    <w:p w14:paraId="17E468F2" w14:textId="6E9B34BD" w:rsidR="00F01883" w:rsidRDefault="00F01883" w:rsidP="00F01883">
      <w:pPr>
        <w:rPr>
          <w:rFonts w:asciiTheme="minorHAnsi" w:hAnsiTheme="minorHAnsi" w:cstheme="minorHAnsi"/>
          <w:szCs w:val="24"/>
        </w:rPr>
      </w:pPr>
    </w:p>
    <w:p w14:paraId="1BBFA7A9" w14:textId="7D4178AB" w:rsidR="00F01883" w:rsidRDefault="00F01883" w:rsidP="00F0188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cc:  The </w:t>
      </w:r>
      <w:r w:rsidRPr="00F01883">
        <w:rPr>
          <w:rFonts w:asciiTheme="minorHAnsi" w:hAnsiTheme="minorHAnsi" w:cstheme="minorHAnsi"/>
          <w:szCs w:val="24"/>
        </w:rPr>
        <w:t>Honorable Frank Pallone</w:t>
      </w:r>
    </w:p>
    <w:p w14:paraId="534322EE" w14:textId="3803DA94" w:rsidR="00F01883" w:rsidRDefault="00F01883" w:rsidP="00F0188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</w:t>
      </w:r>
      <w:r w:rsidRPr="00F01883">
        <w:rPr>
          <w:rFonts w:asciiTheme="minorHAnsi" w:hAnsiTheme="minorHAnsi" w:cstheme="minorHAnsi"/>
          <w:szCs w:val="24"/>
        </w:rPr>
        <w:t>The Honorable Cathy McMorris Rodgers</w:t>
      </w:r>
    </w:p>
    <w:p w14:paraId="06E52D3F" w14:textId="7BCC5B9F" w:rsidR="00F01883" w:rsidRPr="00E22272" w:rsidRDefault="00F01883" w:rsidP="00F01883">
      <w:p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Members, Energy and Commerce Committee</w:t>
      </w:r>
    </w:p>
    <w:sectPr w:rsidR="00F01883" w:rsidRPr="00E22272" w:rsidSect="000341D1">
      <w:head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C31D" w14:textId="77777777" w:rsidR="00527606" w:rsidRDefault="00527606" w:rsidP="005B1E56">
      <w:r>
        <w:separator/>
      </w:r>
    </w:p>
  </w:endnote>
  <w:endnote w:type="continuationSeparator" w:id="0">
    <w:p w14:paraId="07681D3F" w14:textId="77777777" w:rsidR="00527606" w:rsidRDefault="00527606" w:rsidP="005B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B125" w14:textId="77777777" w:rsidR="00D27306" w:rsidRDefault="00D27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D50B" w14:textId="6ED7419A" w:rsidR="005B1E56" w:rsidRPr="005B1E56" w:rsidRDefault="00D27306">
    <w:pPr>
      <w:pStyle w:val="Footer"/>
    </w:pPr>
    <w:r w:rsidRPr="00D27306">
      <w:rPr>
        <w:noProof/>
        <w:sz w:val="16"/>
      </w:rPr>
      <w:t>{D1020290.DOCX / 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1265" w14:textId="77777777" w:rsidR="00D27306" w:rsidRDefault="00D2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B80B" w14:textId="77777777" w:rsidR="00527606" w:rsidRDefault="00527606" w:rsidP="005B1E5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87DE705" w14:textId="77777777" w:rsidR="00527606" w:rsidRDefault="00527606" w:rsidP="005B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5FF3" w14:textId="77777777" w:rsidR="00D27306" w:rsidRDefault="00D27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0325" w14:textId="77777777" w:rsidR="00D27306" w:rsidRDefault="00D27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5A68" w14:textId="77777777" w:rsidR="00D27306" w:rsidRDefault="00D273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-1323965540"/>
      <w:docPartObj>
        <w:docPartGallery w:val="Page Numbers (Top of Page)"/>
        <w:docPartUnique/>
      </w:docPartObj>
    </w:sdtPr>
    <w:sdtEndPr/>
    <w:sdtContent>
      <w:p w14:paraId="793F7C70" w14:textId="77777777" w:rsidR="003723D2" w:rsidRPr="00EA09FD" w:rsidRDefault="003723D2" w:rsidP="003723D2">
        <w:pPr>
          <w:rPr>
            <w:rFonts w:asciiTheme="minorHAnsi" w:hAnsiTheme="minorHAnsi" w:cstheme="minorHAnsi"/>
            <w:sz w:val="22"/>
          </w:rPr>
        </w:pPr>
        <w:r w:rsidRPr="00EA09FD">
          <w:rPr>
            <w:rFonts w:asciiTheme="minorHAnsi" w:hAnsiTheme="minorHAnsi" w:cstheme="minorHAnsi"/>
            <w:sz w:val="22"/>
          </w:rPr>
          <w:t>RRC Support of the Improving Senior’s Timely Access to Care Act</w:t>
        </w:r>
      </w:p>
      <w:p w14:paraId="586BB973" w14:textId="09B6EEEC" w:rsidR="003723D2" w:rsidRPr="00EA09FD" w:rsidRDefault="003723D2" w:rsidP="003723D2">
        <w:pPr>
          <w:pStyle w:val="Header"/>
          <w:rPr>
            <w:rFonts w:asciiTheme="minorHAnsi" w:hAnsiTheme="minorHAnsi" w:cstheme="minorHAnsi"/>
            <w:sz w:val="22"/>
          </w:rPr>
        </w:pPr>
        <w:r w:rsidRPr="00EA09FD">
          <w:rPr>
            <w:rFonts w:asciiTheme="minorHAnsi" w:hAnsiTheme="minorHAnsi" w:cstheme="minorHAnsi"/>
            <w:sz w:val="22"/>
          </w:rPr>
          <w:t xml:space="preserve">September 13, 2022 </w:t>
        </w:r>
      </w:p>
      <w:p w14:paraId="209CDDE5" w14:textId="65372F78" w:rsidR="003723D2" w:rsidRPr="00EA09FD" w:rsidRDefault="003723D2" w:rsidP="003723D2">
        <w:pPr>
          <w:pStyle w:val="Header"/>
          <w:rPr>
            <w:rFonts w:asciiTheme="minorHAnsi" w:hAnsiTheme="minorHAnsi" w:cstheme="minorHAnsi"/>
            <w:sz w:val="22"/>
          </w:rPr>
        </w:pPr>
        <w:r w:rsidRPr="00EA09FD">
          <w:rPr>
            <w:rFonts w:asciiTheme="minorHAnsi" w:hAnsiTheme="minorHAnsi" w:cstheme="minorHAnsi"/>
            <w:sz w:val="22"/>
          </w:rPr>
          <w:t xml:space="preserve">Page </w:t>
        </w:r>
        <w:r w:rsidRPr="00EA09FD">
          <w:rPr>
            <w:rFonts w:asciiTheme="minorHAnsi" w:hAnsiTheme="minorHAnsi" w:cstheme="minorHAnsi"/>
            <w:sz w:val="22"/>
          </w:rPr>
          <w:fldChar w:fldCharType="begin"/>
        </w:r>
        <w:r w:rsidRPr="00EA09FD">
          <w:rPr>
            <w:rFonts w:asciiTheme="minorHAnsi" w:hAnsiTheme="minorHAnsi" w:cstheme="minorHAnsi"/>
            <w:sz w:val="22"/>
          </w:rPr>
          <w:instrText xml:space="preserve"> PAGE </w:instrText>
        </w:r>
        <w:r w:rsidRPr="00EA09FD">
          <w:rPr>
            <w:rFonts w:asciiTheme="minorHAnsi" w:hAnsiTheme="minorHAnsi" w:cstheme="minorHAnsi"/>
            <w:sz w:val="22"/>
          </w:rPr>
          <w:fldChar w:fldCharType="separate"/>
        </w:r>
        <w:r w:rsidRPr="00EA09FD">
          <w:rPr>
            <w:rFonts w:asciiTheme="minorHAnsi" w:hAnsiTheme="minorHAnsi" w:cstheme="minorHAnsi"/>
            <w:sz w:val="22"/>
          </w:rPr>
          <w:t>2</w:t>
        </w:r>
        <w:r w:rsidRPr="00EA09FD">
          <w:rPr>
            <w:rFonts w:asciiTheme="minorHAnsi" w:hAnsiTheme="minorHAnsi" w:cstheme="minorHAnsi"/>
            <w:sz w:val="22"/>
          </w:rPr>
          <w:fldChar w:fldCharType="end"/>
        </w:r>
        <w:r w:rsidRPr="00EA09FD">
          <w:rPr>
            <w:rFonts w:asciiTheme="minorHAnsi" w:hAnsiTheme="minorHAnsi" w:cstheme="minorHAnsi"/>
            <w:sz w:val="22"/>
          </w:rPr>
          <w:t xml:space="preserve"> of </w:t>
        </w:r>
        <w:r w:rsidRPr="00EA09FD">
          <w:rPr>
            <w:rFonts w:asciiTheme="minorHAnsi" w:hAnsiTheme="minorHAnsi" w:cstheme="minorHAnsi"/>
            <w:sz w:val="22"/>
          </w:rPr>
          <w:fldChar w:fldCharType="begin"/>
        </w:r>
        <w:r w:rsidRPr="00EA09FD">
          <w:rPr>
            <w:rFonts w:asciiTheme="minorHAnsi" w:hAnsiTheme="minorHAnsi" w:cstheme="minorHAnsi"/>
            <w:sz w:val="22"/>
          </w:rPr>
          <w:instrText xml:space="preserve"> NUMPAGES  </w:instrText>
        </w:r>
        <w:r w:rsidRPr="00EA09FD">
          <w:rPr>
            <w:rFonts w:asciiTheme="minorHAnsi" w:hAnsiTheme="minorHAnsi" w:cstheme="minorHAnsi"/>
            <w:sz w:val="22"/>
          </w:rPr>
          <w:fldChar w:fldCharType="separate"/>
        </w:r>
        <w:r w:rsidRPr="00EA09FD">
          <w:rPr>
            <w:rFonts w:asciiTheme="minorHAnsi" w:hAnsiTheme="minorHAnsi" w:cstheme="minorHAnsi"/>
            <w:sz w:val="22"/>
          </w:rPr>
          <w:t>3</w:t>
        </w:r>
        <w:r w:rsidRPr="00EA09F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CF97022" w14:textId="77777777" w:rsidR="003723D2" w:rsidRPr="00EA09FD" w:rsidRDefault="003723D2">
    <w:pPr>
      <w:pStyle w:val="Header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07F"/>
    <w:multiLevelType w:val="hybridMultilevel"/>
    <w:tmpl w:val="BB24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16CC"/>
    <w:multiLevelType w:val="hybridMultilevel"/>
    <w:tmpl w:val="AAF02E70"/>
    <w:lvl w:ilvl="0" w:tplc="A5CC0A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75E2"/>
    <w:multiLevelType w:val="hybridMultilevel"/>
    <w:tmpl w:val="6AF6C7E4"/>
    <w:lvl w:ilvl="0" w:tplc="A5CC0A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41FDB"/>
    <w:multiLevelType w:val="hybridMultilevel"/>
    <w:tmpl w:val="7CA8AF8A"/>
    <w:lvl w:ilvl="0" w:tplc="A5CC0A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3B79"/>
    <w:multiLevelType w:val="hybridMultilevel"/>
    <w:tmpl w:val="7EDA1614"/>
    <w:lvl w:ilvl="0" w:tplc="A5CC0A7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7933">
    <w:abstractNumId w:val="0"/>
  </w:num>
  <w:num w:numId="2" w16cid:durableId="1334529029">
    <w:abstractNumId w:val="4"/>
  </w:num>
  <w:num w:numId="3" w16cid:durableId="811101066">
    <w:abstractNumId w:val="3"/>
  </w:num>
  <w:num w:numId="4" w16cid:durableId="1182009505">
    <w:abstractNumId w:val="1"/>
  </w:num>
  <w:num w:numId="5" w16cid:durableId="1557200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NDYzNwGShuaWlko6SsGpxcWZ+XkgBYa1ANjAjtAsAAAA"/>
  </w:docVars>
  <w:rsids>
    <w:rsidRoot w:val="00CD7471"/>
    <w:rsid w:val="000270E3"/>
    <w:rsid w:val="000341D1"/>
    <w:rsid w:val="001B3219"/>
    <w:rsid w:val="002A6458"/>
    <w:rsid w:val="002C44A3"/>
    <w:rsid w:val="003723D2"/>
    <w:rsid w:val="00470964"/>
    <w:rsid w:val="004D2BEF"/>
    <w:rsid w:val="005215F9"/>
    <w:rsid w:val="00527606"/>
    <w:rsid w:val="005B1E56"/>
    <w:rsid w:val="00733B13"/>
    <w:rsid w:val="00745134"/>
    <w:rsid w:val="00760BB3"/>
    <w:rsid w:val="009C631D"/>
    <w:rsid w:val="00BE140F"/>
    <w:rsid w:val="00BE5CF7"/>
    <w:rsid w:val="00C5038F"/>
    <w:rsid w:val="00C80024"/>
    <w:rsid w:val="00CD7471"/>
    <w:rsid w:val="00D0474D"/>
    <w:rsid w:val="00D27306"/>
    <w:rsid w:val="00E22272"/>
    <w:rsid w:val="00E614F3"/>
    <w:rsid w:val="00EA09FD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D599E"/>
  <w15:chartTrackingRefBased/>
  <w15:docId w15:val="{8E7C758E-512A-433C-AB42-0D56CCE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2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E56"/>
  </w:style>
  <w:style w:type="paragraph" w:styleId="Footer">
    <w:name w:val="footer"/>
    <w:basedOn w:val="Normal"/>
    <w:link w:val="FooterChar"/>
    <w:uiPriority w:val="99"/>
    <w:unhideWhenUsed/>
    <w:rsid w:val="005B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E56"/>
  </w:style>
  <w:style w:type="character" w:styleId="FollowedHyperlink">
    <w:name w:val="FollowedHyperlink"/>
    <w:basedOn w:val="DefaultParagraphFont"/>
    <w:uiPriority w:val="99"/>
    <w:semiHidden/>
    <w:unhideWhenUsed/>
    <w:rsid w:val="00760B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0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eggy.Tighe@PowersLaw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relief.org/wp-content/uploads/2019/12/RRC-Prior-Authorization-Survey-Results-FINAL-7-2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relief.org/wp-content/uploads/2022/09/Endorsement-List-9.202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3210-24AD-4083-84E3-C6B112A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5039</Characters>
  <Application>Microsoft Office Word</Application>
  <DocSecurity>0</DocSecurity>
  <PresentationFormat>14|.DOCX</PresentationFormat>
  <Lines>125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EC FOR HEALTHSUB MARKUP (D1020267).DOCX</dc:title>
  <dc:subject>D1020290.DOCX / 1 /font=8</dc:subject>
  <dc:creator>Tighe, Peggy</dc:creator>
  <cp:keywords/>
  <dc:description/>
  <cp:lastModifiedBy>Goodwin, Emily</cp:lastModifiedBy>
  <cp:revision>2</cp:revision>
  <dcterms:created xsi:type="dcterms:W3CDTF">2022-09-13T15:38:00Z</dcterms:created>
  <dcterms:modified xsi:type="dcterms:W3CDTF">2022-09-13T15:38:00Z</dcterms:modified>
</cp:coreProperties>
</file>